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14" w:rsidRDefault="00803614" w:rsidP="00803614"/>
    <w:p w:rsidR="00BB7281" w:rsidRDefault="00803614" w:rsidP="00803614">
      <w:pPr>
        <w:rPr>
          <w:rFonts w:ascii="Arial" w:hAnsi="Arial" w:cs="Arial"/>
          <w:sz w:val="24"/>
          <w:szCs w:val="24"/>
        </w:rPr>
      </w:pPr>
      <w:r w:rsidRPr="00803614">
        <w:rPr>
          <w:rFonts w:ascii="Arial" w:hAnsi="Arial" w:cs="Arial"/>
          <w:sz w:val="24"/>
          <w:szCs w:val="24"/>
        </w:rPr>
        <w:t xml:space="preserve">This </w:t>
      </w:r>
      <w:r>
        <w:rPr>
          <w:rFonts w:ascii="Arial" w:hAnsi="Arial" w:cs="Arial"/>
          <w:sz w:val="24"/>
          <w:szCs w:val="24"/>
        </w:rPr>
        <w:t xml:space="preserve">purpose of this </w:t>
      </w:r>
      <w:r w:rsidRPr="00803614">
        <w:rPr>
          <w:rFonts w:ascii="Arial" w:hAnsi="Arial" w:cs="Arial"/>
          <w:sz w:val="24"/>
          <w:szCs w:val="24"/>
        </w:rPr>
        <w:t xml:space="preserve">Graduate Committee meeting was for </w:t>
      </w:r>
      <w:r w:rsidR="00BB7281">
        <w:rPr>
          <w:rFonts w:ascii="Arial" w:hAnsi="Arial" w:cs="Arial"/>
          <w:sz w:val="24"/>
          <w:szCs w:val="24"/>
        </w:rPr>
        <w:t xml:space="preserve">Treise to discuss the combined degree program with department chairs.  </w:t>
      </w:r>
    </w:p>
    <w:p w:rsidR="00803614" w:rsidRDefault="00803614" w:rsidP="00803614">
      <w:pPr>
        <w:rPr>
          <w:rFonts w:ascii="Arial" w:hAnsi="Arial" w:cs="Arial"/>
          <w:sz w:val="24"/>
          <w:szCs w:val="24"/>
        </w:rPr>
      </w:pPr>
      <w:r>
        <w:rPr>
          <w:rFonts w:ascii="Arial" w:hAnsi="Arial" w:cs="Arial"/>
          <w:sz w:val="24"/>
          <w:szCs w:val="24"/>
        </w:rPr>
        <w:t xml:space="preserve">A combined degree means getting both </w:t>
      </w:r>
      <w:r w:rsidR="007674C4">
        <w:rPr>
          <w:rFonts w:ascii="Arial" w:hAnsi="Arial" w:cs="Arial"/>
          <w:sz w:val="24"/>
          <w:szCs w:val="24"/>
        </w:rPr>
        <w:t xml:space="preserve">undergraduate and Master’s degrees in five years.  </w:t>
      </w:r>
    </w:p>
    <w:p w:rsidR="007674C4" w:rsidRDefault="007674C4" w:rsidP="00803614">
      <w:pPr>
        <w:rPr>
          <w:rFonts w:ascii="Arial" w:hAnsi="Arial" w:cs="Arial"/>
          <w:sz w:val="24"/>
          <w:szCs w:val="24"/>
        </w:rPr>
      </w:pPr>
      <w:r>
        <w:rPr>
          <w:rFonts w:ascii="Arial" w:hAnsi="Arial" w:cs="Arial"/>
          <w:sz w:val="24"/>
          <w:szCs w:val="24"/>
        </w:rPr>
        <w:t>Undergraduates may take up to 4 graduate classes that will count toward both degrees.</w:t>
      </w:r>
    </w:p>
    <w:p w:rsidR="007674C4" w:rsidRDefault="007674C4" w:rsidP="00803614">
      <w:pPr>
        <w:rPr>
          <w:rFonts w:ascii="Arial" w:hAnsi="Arial" w:cs="Arial"/>
          <w:sz w:val="24"/>
          <w:szCs w:val="24"/>
        </w:rPr>
      </w:pPr>
      <w:r>
        <w:rPr>
          <w:rFonts w:ascii="Arial" w:hAnsi="Arial" w:cs="Arial"/>
          <w:sz w:val="24"/>
          <w:szCs w:val="24"/>
        </w:rPr>
        <w:t xml:space="preserve">Chairs </w:t>
      </w:r>
      <w:r w:rsidR="00DB5F50">
        <w:rPr>
          <w:rFonts w:ascii="Arial" w:hAnsi="Arial" w:cs="Arial"/>
          <w:sz w:val="24"/>
          <w:szCs w:val="24"/>
        </w:rPr>
        <w:t xml:space="preserve">will need to </w:t>
      </w:r>
      <w:r>
        <w:rPr>
          <w:rFonts w:ascii="Arial" w:hAnsi="Arial" w:cs="Arial"/>
          <w:sz w:val="24"/>
          <w:szCs w:val="24"/>
        </w:rPr>
        <w:t>approve the courses on the combined degree form.</w:t>
      </w:r>
    </w:p>
    <w:p w:rsidR="007674C4" w:rsidRDefault="007674C4" w:rsidP="00C24B9E">
      <w:pPr>
        <w:spacing w:before="100" w:beforeAutospacing="1" w:after="100" w:afterAutospacing="1" w:line="319" w:lineRule="atLeast"/>
        <w:rPr>
          <w:rFonts w:ascii="Arial" w:eastAsia="Times New Roman" w:hAnsi="Arial" w:cs="Arial"/>
          <w:i/>
          <w:color w:val="000000"/>
          <w:sz w:val="24"/>
          <w:szCs w:val="24"/>
        </w:rPr>
      </w:pPr>
      <w:r w:rsidRPr="007674C4">
        <w:rPr>
          <w:rFonts w:ascii="Arial" w:eastAsia="Times New Roman" w:hAnsi="Arial" w:cs="Arial"/>
          <w:color w:val="000000"/>
          <w:sz w:val="24"/>
          <w:szCs w:val="24"/>
        </w:rPr>
        <w:t xml:space="preserve">From the UF Undergraduate Catalog 2017-18: </w:t>
      </w:r>
      <w:r w:rsidRPr="007674C4">
        <w:rPr>
          <w:rFonts w:ascii="Arial" w:eastAsia="Times New Roman" w:hAnsi="Arial" w:cs="Arial"/>
          <w:i/>
          <w:color w:val="000000"/>
          <w:sz w:val="24"/>
          <w:szCs w:val="24"/>
        </w:rPr>
        <w:t>Application normally occurs in the junior or senior year. If accepted, students must take the GRE the first semester of their senior year.</w:t>
      </w:r>
      <w:r w:rsidR="00C24B9E" w:rsidRPr="00C24B9E">
        <w:rPr>
          <w:rFonts w:ascii="Arial" w:eastAsia="Times New Roman" w:hAnsi="Arial" w:cs="Arial"/>
          <w:i/>
          <w:color w:val="000000"/>
          <w:sz w:val="24"/>
          <w:szCs w:val="24"/>
        </w:rPr>
        <w:t xml:space="preserve">  </w:t>
      </w:r>
      <w:r w:rsidRPr="00C24B9E">
        <w:rPr>
          <w:rFonts w:ascii="Arial" w:eastAsia="Times New Roman" w:hAnsi="Arial" w:cs="Arial"/>
          <w:i/>
          <w:color w:val="000000"/>
          <w:sz w:val="24"/>
          <w:szCs w:val="24"/>
        </w:rPr>
        <w:t>Financial aid is available for the graduate portion of the program. Undergraduate degree costs</w:t>
      </w:r>
      <w:r w:rsidRPr="007674C4">
        <w:rPr>
          <w:rFonts w:ascii="Arial" w:eastAsia="Times New Roman" w:hAnsi="Arial" w:cs="Arial"/>
          <w:i/>
          <w:color w:val="000000"/>
          <w:sz w:val="24"/>
          <w:szCs w:val="24"/>
        </w:rPr>
        <w:t xml:space="preserve"> should be satisfied with existing financial aid such as Bright Futures and Prepaid Tuition. Bright Futures can cover the undergraduate costs of up to 12 hours of graduate courses that apply to the undergraduate degree. Each student is responsible for the difference in tuition between the undergraduate and graduate course rates. If available, the Florida Prepaid Tuition Program can fund the first 120 hours. Graduate courses that apply toward the undergraduate degree are funded at the undergraduate rate, and the student is responsible for the difference.</w:t>
      </w:r>
    </w:p>
    <w:p w:rsidR="007674C4" w:rsidRDefault="007674C4" w:rsidP="007674C4">
      <w:pPr>
        <w:rPr>
          <w:rFonts w:ascii="Arial" w:hAnsi="Arial" w:cs="Arial"/>
          <w:sz w:val="24"/>
          <w:szCs w:val="24"/>
        </w:rPr>
      </w:pPr>
      <w:r>
        <w:rPr>
          <w:rFonts w:ascii="Arial" w:hAnsi="Arial" w:cs="Arial"/>
          <w:sz w:val="24"/>
          <w:szCs w:val="24"/>
        </w:rPr>
        <w:t xml:space="preserve">Treise listed the following advantages to students: </w:t>
      </w:r>
    </w:p>
    <w:p w:rsidR="007674C4" w:rsidRDefault="00DB5F50" w:rsidP="007674C4">
      <w:pPr>
        <w:pStyle w:val="ListParagraph"/>
        <w:numPr>
          <w:ilvl w:val="0"/>
          <w:numId w:val="1"/>
        </w:numPr>
        <w:rPr>
          <w:rFonts w:ascii="Arial" w:hAnsi="Arial" w:cs="Arial"/>
          <w:sz w:val="24"/>
          <w:szCs w:val="24"/>
        </w:rPr>
      </w:pPr>
      <w:r>
        <w:rPr>
          <w:rFonts w:ascii="Arial" w:hAnsi="Arial" w:cs="Arial"/>
          <w:sz w:val="24"/>
          <w:szCs w:val="24"/>
        </w:rPr>
        <w:t>t</w:t>
      </w:r>
      <w:r w:rsidR="007674C4" w:rsidRPr="007674C4">
        <w:rPr>
          <w:rFonts w:ascii="Arial" w:hAnsi="Arial" w:cs="Arial"/>
          <w:sz w:val="24"/>
          <w:szCs w:val="24"/>
        </w:rPr>
        <w:t xml:space="preserve">ake </w:t>
      </w:r>
      <w:r w:rsidR="00D24F71">
        <w:rPr>
          <w:rFonts w:ascii="Arial" w:hAnsi="Arial" w:cs="Arial"/>
          <w:sz w:val="24"/>
          <w:szCs w:val="24"/>
        </w:rPr>
        <w:t>a course once, count it twice</w:t>
      </w:r>
    </w:p>
    <w:p w:rsidR="007674C4" w:rsidRDefault="00DB5F50" w:rsidP="007674C4">
      <w:pPr>
        <w:pStyle w:val="ListParagraph"/>
        <w:numPr>
          <w:ilvl w:val="0"/>
          <w:numId w:val="1"/>
        </w:numPr>
        <w:rPr>
          <w:rFonts w:ascii="Arial" w:hAnsi="Arial" w:cs="Arial"/>
          <w:sz w:val="24"/>
          <w:szCs w:val="24"/>
        </w:rPr>
      </w:pPr>
      <w:r>
        <w:rPr>
          <w:rFonts w:ascii="Arial" w:hAnsi="Arial" w:cs="Arial"/>
          <w:sz w:val="24"/>
          <w:szCs w:val="24"/>
        </w:rPr>
        <w:t>g</w:t>
      </w:r>
      <w:r w:rsidR="007674C4">
        <w:rPr>
          <w:rFonts w:ascii="Arial" w:hAnsi="Arial" w:cs="Arial"/>
          <w:sz w:val="24"/>
          <w:szCs w:val="24"/>
        </w:rPr>
        <w:t>et a Master’s in one year</w:t>
      </w:r>
    </w:p>
    <w:p w:rsidR="007674C4" w:rsidRDefault="007674C4" w:rsidP="007674C4">
      <w:pPr>
        <w:pStyle w:val="ListParagraph"/>
        <w:numPr>
          <w:ilvl w:val="0"/>
          <w:numId w:val="1"/>
        </w:numPr>
        <w:rPr>
          <w:rFonts w:ascii="Arial" w:hAnsi="Arial" w:cs="Arial"/>
          <w:sz w:val="24"/>
          <w:szCs w:val="24"/>
        </w:rPr>
      </w:pPr>
      <w:r>
        <w:rPr>
          <w:rFonts w:ascii="Arial" w:hAnsi="Arial" w:cs="Arial"/>
          <w:sz w:val="24"/>
          <w:szCs w:val="24"/>
        </w:rPr>
        <w:t>12 to 1</w:t>
      </w:r>
      <w:r w:rsidR="00D24F71">
        <w:rPr>
          <w:rFonts w:ascii="Arial" w:hAnsi="Arial" w:cs="Arial"/>
          <w:sz w:val="24"/>
          <w:szCs w:val="24"/>
        </w:rPr>
        <w:t>5</w:t>
      </w:r>
      <w:r>
        <w:rPr>
          <w:rFonts w:ascii="Arial" w:hAnsi="Arial" w:cs="Arial"/>
          <w:sz w:val="24"/>
          <w:szCs w:val="24"/>
        </w:rPr>
        <w:t xml:space="preserve"> hours of credit toward graduate</w:t>
      </w:r>
    </w:p>
    <w:p w:rsidR="007674C4" w:rsidRDefault="00DB5F50" w:rsidP="007674C4">
      <w:pPr>
        <w:pStyle w:val="ListParagraph"/>
        <w:numPr>
          <w:ilvl w:val="0"/>
          <w:numId w:val="1"/>
        </w:numPr>
        <w:rPr>
          <w:rFonts w:ascii="Arial" w:hAnsi="Arial" w:cs="Arial"/>
          <w:sz w:val="24"/>
          <w:szCs w:val="24"/>
        </w:rPr>
      </w:pPr>
      <w:r>
        <w:rPr>
          <w:rFonts w:ascii="Arial" w:hAnsi="Arial" w:cs="Arial"/>
          <w:sz w:val="24"/>
          <w:szCs w:val="24"/>
        </w:rPr>
        <w:t>c</w:t>
      </w:r>
      <w:r w:rsidR="007674C4">
        <w:rPr>
          <w:rFonts w:ascii="Arial" w:hAnsi="Arial" w:cs="Arial"/>
          <w:sz w:val="24"/>
          <w:szCs w:val="24"/>
        </w:rPr>
        <w:t>an list on resume</w:t>
      </w:r>
    </w:p>
    <w:p w:rsidR="007674C4" w:rsidRDefault="007674C4" w:rsidP="007674C4">
      <w:pPr>
        <w:rPr>
          <w:rFonts w:ascii="Arial" w:hAnsi="Arial" w:cs="Arial"/>
          <w:sz w:val="24"/>
          <w:szCs w:val="24"/>
        </w:rPr>
      </w:pPr>
      <w:r>
        <w:rPr>
          <w:rFonts w:ascii="Arial" w:hAnsi="Arial" w:cs="Arial"/>
          <w:sz w:val="24"/>
          <w:szCs w:val="24"/>
        </w:rPr>
        <w:t>Advantages to chairs:</w:t>
      </w:r>
    </w:p>
    <w:p w:rsidR="007674C4" w:rsidRDefault="00DB5F50" w:rsidP="007674C4">
      <w:pPr>
        <w:pStyle w:val="ListParagraph"/>
        <w:numPr>
          <w:ilvl w:val="0"/>
          <w:numId w:val="2"/>
        </w:numPr>
        <w:rPr>
          <w:rFonts w:ascii="Arial" w:hAnsi="Arial" w:cs="Arial"/>
          <w:sz w:val="24"/>
          <w:szCs w:val="24"/>
        </w:rPr>
      </w:pPr>
      <w:r>
        <w:rPr>
          <w:rFonts w:ascii="Arial" w:hAnsi="Arial" w:cs="Arial"/>
          <w:sz w:val="24"/>
          <w:szCs w:val="24"/>
        </w:rPr>
        <w:t>r</w:t>
      </w:r>
      <w:r w:rsidR="007674C4">
        <w:rPr>
          <w:rFonts w:ascii="Arial" w:hAnsi="Arial" w:cs="Arial"/>
          <w:sz w:val="24"/>
          <w:szCs w:val="24"/>
        </w:rPr>
        <w:t xml:space="preserve">educes enrollment in overcrowded undergrad </w:t>
      </w:r>
    </w:p>
    <w:p w:rsidR="00DB5F50" w:rsidRDefault="00DB5F50" w:rsidP="007674C4">
      <w:pPr>
        <w:pStyle w:val="ListParagraph"/>
        <w:numPr>
          <w:ilvl w:val="0"/>
          <w:numId w:val="2"/>
        </w:numPr>
        <w:rPr>
          <w:rFonts w:ascii="Arial" w:hAnsi="Arial" w:cs="Arial"/>
          <w:sz w:val="24"/>
          <w:szCs w:val="24"/>
        </w:rPr>
      </w:pPr>
      <w:r>
        <w:rPr>
          <w:rFonts w:ascii="Arial" w:hAnsi="Arial" w:cs="Arial"/>
          <w:sz w:val="24"/>
          <w:szCs w:val="24"/>
        </w:rPr>
        <w:t>Weigold found in his research that students with the combined degree had better job outcomes</w:t>
      </w:r>
    </w:p>
    <w:p w:rsidR="00DB5F50" w:rsidRDefault="00DB5F50" w:rsidP="00DB5F50">
      <w:pPr>
        <w:rPr>
          <w:rFonts w:ascii="Arial" w:hAnsi="Arial" w:cs="Arial"/>
          <w:sz w:val="24"/>
          <w:szCs w:val="24"/>
        </w:rPr>
      </w:pPr>
      <w:r>
        <w:rPr>
          <w:rFonts w:ascii="Arial" w:hAnsi="Arial" w:cs="Arial"/>
          <w:sz w:val="24"/>
          <w:szCs w:val="24"/>
        </w:rPr>
        <w:t>The group discussed approaching undergrads during their late sophomore/early junior year—at the 60-75 hour point to be able to complete in five years.</w:t>
      </w:r>
    </w:p>
    <w:p w:rsidR="00DB5F50" w:rsidRDefault="00DB5F50" w:rsidP="00DB5F50">
      <w:pPr>
        <w:rPr>
          <w:rFonts w:ascii="Arial" w:hAnsi="Arial" w:cs="Arial"/>
          <w:sz w:val="24"/>
          <w:szCs w:val="24"/>
        </w:rPr>
      </w:pPr>
      <w:r>
        <w:rPr>
          <w:rFonts w:ascii="Arial" w:hAnsi="Arial" w:cs="Arial"/>
          <w:sz w:val="24"/>
          <w:szCs w:val="24"/>
        </w:rPr>
        <w:t>Students would apply to MA and take the GRE when course work is completed (other programs have no requirement to take it earlier; but certainly could be encouraged.</w:t>
      </w:r>
    </w:p>
    <w:p w:rsidR="00DB5F50" w:rsidRDefault="00DB5F50" w:rsidP="00DB5F50">
      <w:pPr>
        <w:rPr>
          <w:rFonts w:ascii="Arial" w:hAnsi="Arial" w:cs="Arial"/>
          <w:sz w:val="24"/>
          <w:szCs w:val="24"/>
        </w:rPr>
      </w:pPr>
      <w:r>
        <w:rPr>
          <w:rFonts w:ascii="Arial" w:hAnsi="Arial" w:cs="Arial"/>
          <w:sz w:val="24"/>
          <w:szCs w:val="24"/>
        </w:rPr>
        <w:t>It was suggested that an essay be required for admission into the combined degree program and included with the application form.</w:t>
      </w:r>
    </w:p>
    <w:p w:rsidR="00C24B9E" w:rsidRDefault="00C24B9E" w:rsidP="00DB5F50">
      <w:pPr>
        <w:rPr>
          <w:rFonts w:ascii="Arial" w:hAnsi="Arial" w:cs="Arial"/>
          <w:sz w:val="24"/>
          <w:szCs w:val="24"/>
        </w:rPr>
      </w:pPr>
    </w:p>
    <w:p w:rsidR="00DB5F50" w:rsidRDefault="00D24F71" w:rsidP="00DB5F50">
      <w:pPr>
        <w:rPr>
          <w:rFonts w:ascii="Arial" w:hAnsi="Arial" w:cs="Arial"/>
          <w:sz w:val="24"/>
          <w:szCs w:val="24"/>
        </w:rPr>
      </w:pPr>
      <w:r>
        <w:rPr>
          <w:rFonts w:ascii="Arial" w:hAnsi="Arial" w:cs="Arial"/>
          <w:sz w:val="24"/>
          <w:szCs w:val="24"/>
        </w:rPr>
        <w:t>Promotion</w:t>
      </w:r>
      <w:r w:rsidR="00C24B9E">
        <w:rPr>
          <w:rFonts w:ascii="Arial" w:hAnsi="Arial" w:cs="Arial"/>
          <w:sz w:val="24"/>
          <w:szCs w:val="24"/>
        </w:rPr>
        <w:t xml:space="preserve"> of the combined degrees</w:t>
      </w:r>
      <w:bookmarkStart w:id="0" w:name="_GoBack"/>
      <w:bookmarkEnd w:id="0"/>
      <w:r>
        <w:rPr>
          <w:rFonts w:ascii="Arial" w:hAnsi="Arial" w:cs="Arial"/>
          <w:sz w:val="24"/>
          <w:szCs w:val="24"/>
        </w:rPr>
        <w:t>:</w:t>
      </w:r>
    </w:p>
    <w:p w:rsidR="00D24F71" w:rsidRDefault="00EE5CB1" w:rsidP="00D24F71">
      <w:pPr>
        <w:pStyle w:val="ListParagraph"/>
        <w:numPr>
          <w:ilvl w:val="0"/>
          <w:numId w:val="3"/>
        </w:numPr>
        <w:rPr>
          <w:rFonts w:ascii="Arial" w:hAnsi="Arial" w:cs="Arial"/>
          <w:sz w:val="24"/>
          <w:szCs w:val="24"/>
        </w:rPr>
      </w:pPr>
      <w:r>
        <w:rPr>
          <w:rFonts w:ascii="Arial" w:hAnsi="Arial" w:cs="Arial"/>
          <w:sz w:val="24"/>
          <w:szCs w:val="24"/>
        </w:rPr>
        <w:t>Website—ask Randy to promote all combined degrees</w:t>
      </w:r>
    </w:p>
    <w:p w:rsidR="00EE5CB1" w:rsidRDefault="00EE5CB1" w:rsidP="00D24F71">
      <w:pPr>
        <w:pStyle w:val="ListParagraph"/>
        <w:numPr>
          <w:ilvl w:val="0"/>
          <w:numId w:val="3"/>
        </w:numPr>
        <w:rPr>
          <w:rFonts w:ascii="Arial" w:hAnsi="Arial" w:cs="Arial"/>
          <w:sz w:val="24"/>
          <w:szCs w:val="24"/>
        </w:rPr>
      </w:pPr>
      <w:r>
        <w:rPr>
          <w:rFonts w:ascii="Arial" w:hAnsi="Arial" w:cs="Arial"/>
          <w:sz w:val="24"/>
          <w:szCs w:val="24"/>
        </w:rPr>
        <w:t>Engagement day in fall semester</w:t>
      </w:r>
    </w:p>
    <w:p w:rsidR="00EE5CB1" w:rsidRDefault="00EE5CB1" w:rsidP="00D24F71">
      <w:pPr>
        <w:pStyle w:val="ListParagraph"/>
        <w:numPr>
          <w:ilvl w:val="0"/>
          <w:numId w:val="3"/>
        </w:numPr>
        <w:rPr>
          <w:rFonts w:ascii="Arial" w:hAnsi="Arial" w:cs="Arial"/>
          <w:sz w:val="24"/>
          <w:szCs w:val="24"/>
        </w:rPr>
      </w:pPr>
      <w:r>
        <w:rPr>
          <w:rFonts w:ascii="Arial" w:hAnsi="Arial" w:cs="Arial"/>
          <w:sz w:val="24"/>
          <w:szCs w:val="24"/>
        </w:rPr>
        <w:t>Listserv</w:t>
      </w:r>
    </w:p>
    <w:p w:rsidR="00EE5CB1" w:rsidRDefault="00EE5CB1" w:rsidP="00EE5CB1">
      <w:pPr>
        <w:rPr>
          <w:rFonts w:ascii="Arial" w:hAnsi="Arial" w:cs="Arial"/>
          <w:sz w:val="24"/>
          <w:szCs w:val="24"/>
        </w:rPr>
      </w:pPr>
      <w:r>
        <w:rPr>
          <w:rFonts w:ascii="Arial" w:hAnsi="Arial" w:cs="Arial"/>
          <w:sz w:val="24"/>
          <w:szCs w:val="24"/>
        </w:rPr>
        <w:t>Treise asked the chairs to review the list of approved professional electives for their departments and get back to her.  Spiker suggested not including courses that are made up of undergrads and grads—Environmental JM and Sports, Media, and Society—because it wouldn’t be a true graduate experience.</w:t>
      </w:r>
    </w:p>
    <w:p w:rsidR="00DA577A" w:rsidRDefault="00DA577A" w:rsidP="00EE5CB1">
      <w:pPr>
        <w:rPr>
          <w:rFonts w:ascii="Arial" w:hAnsi="Arial" w:cs="Arial"/>
          <w:sz w:val="24"/>
          <w:szCs w:val="24"/>
        </w:rPr>
      </w:pPr>
    </w:p>
    <w:p w:rsidR="00EE5CB1" w:rsidRDefault="00EE5CB1" w:rsidP="00EE5CB1">
      <w:pPr>
        <w:rPr>
          <w:rFonts w:ascii="Arial" w:hAnsi="Arial" w:cs="Arial"/>
          <w:sz w:val="24"/>
          <w:szCs w:val="24"/>
        </w:rPr>
      </w:pPr>
      <w:r>
        <w:rPr>
          <w:rFonts w:ascii="Arial" w:hAnsi="Arial" w:cs="Arial"/>
          <w:sz w:val="24"/>
          <w:szCs w:val="24"/>
        </w:rPr>
        <w:t>Approved professional electives by department: (chairs reviewed at the meeting)</w:t>
      </w:r>
    </w:p>
    <w:p w:rsidR="00EE5CB1" w:rsidRDefault="00EE5CB1" w:rsidP="00EE5CB1">
      <w:pPr>
        <w:spacing w:after="0"/>
        <w:rPr>
          <w:rFonts w:ascii="Arial" w:hAnsi="Arial" w:cs="Arial"/>
          <w:sz w:val="24"/>
          <w:szCs w:val="24"/>
        </w:rPr>
      </w:pPr>
      <w:r>
        <w:rPr>
          <w:rFonts w:ascii="Arial" w:hAnsi="Arial" w:cs="Arial"/>
          <w:sz w:val="24"/>
          <w:szCs w:val="24"/>
        </w:rPr>
        <w:t>Advertising Management: ADV, JM, TC</w:t>
      </w:r>
    </w:p>
    <w:p w:rsidR="00EE5CB1" w:rsidRDefault="00EE5CB1" w:rsidP="00EE5CB1">
      <w:pPr>
        <w:spacing w:after="0"/>
        <w:rPr>
          <w:rFonts w:ascii="Arial" w:hAnsi="Arial" w:cs="Arial"/>
          <w:sz w:val="24"/>
          <w:szCs w:val="24"/>
        </w:rPr>
      </w:pPr>
      <w:r>
        <w:rPr>
          <w:rFonts w:ascii="Arial" w:hAnsi="Arial" w:cs="Arial"/>
          <w:sz w:val="24"/>
          <w:szCs w:val="24"/>
        </w:rPr>
        <w:t>PR Management: PR, JM, TC</w:t>
      </w:r>
    </w:p>
    <w:p w:rsidR="00EE5CB1" w:rsidRDefault="00EE5CB1" w:rsidP="00EE5CB1">
      <w:pPr>
        <w:spacing w:after="0"/>
        <w:rPr>
          <w:rFonts w:ascii="Arial" w:hAnsi="Arial" w:cs="Arial"/>
          <w:sz w:val="24"/>
          <w:szCs w:val="24"/>
        </w:rPr>
      </w:pPr>
      <w:r>
        <w:rPr>
          <w:rFonts w:ascii="Arial" w:hAnsi="Arial" w:cs="Arial"/>
          <w:sz w:val="24"/>
          <w:szCs w:val="24"/>
        </w:rPr>
        <w:t>Advertising Creative Strategy and Research: ADV, JM, TC</w:t>
      </w:r>
    </w:p>
    <w:p w:rsidR="00EE5CB1" w:rsidRDefault="00EE5CB1" w:rsidP="00EE5CB1">
      <w:pPr>
        <w:spacing w:after="0"/>
        <w:rPr>
          <w:rFonts w:ascii="Arial" w:hAnsi="Arial" w:cs="Arial"/>
          <w:sz w:val="24"/>
          <w:szCs w:val="24"/>
        </w:rPr>
      </w:pPr>
      <w:r>
        <w:rPr>
          <w:rFonts w:ascii="Arial" w:hAnsi="Arial" w:cs="Arial"/>
          <w:sz w:val="24"/>
          <w:szCs w:val="24"/>
        </w:rPr>
        <w:t>Innovation and Entrepreneurship: ADV, PR, JM, TC</w:t>
      </w:r>
    </w:p>
    <w:p w:rsidR="00EE5CB1" w:rsidRDefault="00EE5CB1" w:rsidP="00EE5CB1">
      <w:pPr>
        <w:spacing w:after="0"/>
        <w:rPr>
          <w:rFonts w:ascii="Arial" w:hAnsi="Arial" w:cs="Arial"/>
          <w:sz w:val="24"/>
          <w:szCs w:val="24"/>
        </w:rPr>
      </w:pPr>
      <w:r>
        <w:rPr>
          <w:rFonts w:ascii="Arial" w:hAnsi="Arial" w:cs="Arial"/>
          <w:sz w:val="24"/>
          <w:szCs w:val="24"/>
        </w:rPr>
        <w:t>MC and Society: ADV, PR, JM, TC</w:t>
      </w:r>
    </w:p>
    <w:p w:rsidR="00EE5CB1" w:rsidRDefault="00EE5CB1" w:rsidP="00EE5CB1">
      <w:pPr>
        <w:spacing w:after="0"/>
        <w:rPr>
          <w:rFonts w:ascii="Arial" w:hAnsi="Arial" w:cs="Arial"/>
          <w:sz w:val="24"/>
          <w:szCs w:val="24"/>
        </w:rPr>
      </w:pPr>
      <w:r>
        <w:rPr>
          <w:rFonts w:ascii="Arial" w:hAnsi="Arial" w:cs="Arial"/>
          <w:sz w:val="24"/>
          <w:szCs w:val="24"/>
        </w:rPr>
        <w:t>Digital Storytelling: (in Pro Ma) PR, JM, TC</w:t>
      </w:r>
    </w:p>
    <w:p w:rsidR="00EE5CB1" w:rsidRDefault="00EE5CB1" w:rsidP="00EE5CB1">
      <w:pPr>
        <w:spacing w:after="0"/>
        <w:rPr>
          <w:rFonts w:ascii="Arial" w:hAnsi="Arial" w:cs="Arial"/>
          <w:sz w:val="24"/>
          <w:szCs w:val="24"/>
        </w:rPr>
      </w:pPr>
      <w:r>
        <w:rPr>
          <w:rFonts w:ascii="Arial" w:hAnsi="Arial" w:cs="Arial"/>
          <w:sz w:val="24"/>
          <w:szCs w:val="24"/>
        </w:rPr>
        <w:t>Communication in Healthcare: ADV, PR, JM, TC</w:t>
      </w:r>
    </w:p>
    <w:p w:rsidR="00EE5CB1" w:rsidRDefault="00EE5CB1" w:rsidP="00EE5CB1">
      <w:pPr>
        <w:spacing w:after="0"/>
        <w:rPr>
          <w:rFonts w:ascii="Arial" w:hAnsi="Arial" w:cs="Arial"/>
          <w:sz w:val="24"/>
          <w:szCs w:val="24"/>
        </w:rPr>
      </w:pPr>
      <w:r>
        <w:rPr>
          <w:rFonts w:ascii="Arial" w:hAnsi="Arial" w:cs="Arial"/>
          <w:sz w:val="24"/>
          <w:szCs w:val="24"/>
        </w:rPr>
        <w:t>Communication Leadership: ADV, PR, JM, TC</w:t>
      </w:r>
    </w:p>
    <w:p w:rsidR="00EE5CB1" w:rsidRDefault="00EE5CB1" w:rsidP="00EE5CB1">
      <w:pPr>
        <w:spacing w:after="0"/>
        <w:rPr>
          <w:rFonts w:ascii="Arial" w:hAnsi="Arial" w:cs="Arial"/>
          <w:sz w:val="24"/>
          <w:szCs w:val="24"/>
        </w:rPr>
      </w:pPr>
      <w:r>
        <w:rPr>
          <w:rFonts w:ascii="Arial" w:hAnsi="Arial" w:cs="Arial"/>
          <w:sz w:val="24"/>
          <w:szCs w:val="24"/>
        </w:rPr>
        <w:t>Theory: JM, TC</w:t>
      </w:r>
    </w:p>
    <w:p w:rsidR="00EE5CB1" w:rsidRDefault="00DA577A" w:rsidP="00EE5CB1">
      <w:pPr>
        <w:spacing w:after="0"/>
        <w:rPr>
          <w:rFonts w:ascii="Arial" w:hAnsi="Arial" w:cs="Arial"/>
          <w:sz w:val="24"/>
          <w:szCs w:val="24"/>
        </w:rPr>
      </w:pPr>
      <w:r>
        <w:rPr>
          <w:rFonts w:ascii="Arial" w:hAnsi="Arial" w:cs="Arial"/>
          <w:sz w:val="24"/>
          <w:szCs w:val="24"/>
        </w:rPr>
        <w:t>Applied Theory: (in Pro MA)</w:t>
      </w:r>
      <w:r w:rsidR="00EE5CB1">
        <w:rPr>
          <w:rFonts w:ascii="Arial" w:hAnsi="Arial" w:cs="Arial"/>
          <w:sz w:val="24"/>
          <w:szCs w:val="24"/>
        </w:rPr>
        <w:t xml:space="preserve"> JM, TC</w:t>
      </w:r>
    </w:p>
    <w:p w:rsidR="00EE5CB1" w:rsidRDefault="00EE5CB1" w:rsidP="00EE5CB1">
      <w:pPr>
        <w:spacing w:after="0"/>
        <w:rPr>
          <w:rFonts w:ascii="Arial" w:hAnsi="Arial" w:cs="Arial"/>
          <w:sz w:val="24"/>
          <w:szCs w:val="24"/>
        </w:rPr>
      </w:pPr>
      <w:r>
        <w:rPr>
          <w:rFonts w:ascii="Arial" w:hAnsi="Arial" w:cs="Arial"/>
          <w:sz w:val="24"/>
          <w:szCs w:val="24"/>
        </w:rPr>
        <w:t>Research: JM, TC</w:t>
      </w:r>
    </w:p>
    <w:p w:rsidR="00EE5CB1" w:rsidRDefault="00EE5CB1" w:rsidP="00EE5CB1">
      <w:pPr>
        <w:spacing w:after="0"/>
        <w:rPr>
          <w:rFonts w:ascii="Arial" w:hAnsi="Arial" w:cs="Arial"/>
          <w:sz w:val="24"/>
          <w:szCs w:val="24"/>
        </w:rPr>
      </w:pPr>
      <w:r>
        <w:rPr>
          <w:rFonts w:ascii="Arial" w:hAnsi="Arial" w:cs="Arial"/>
          <w:sz w:val="24"/>
          <w:szCs w:val="24"/>
        </w:rPr>
        <w:t>International Communication: ADV, PR, JM, TC (except Media and Society track, need World Communication Systems instead)</w:t>
      </w:r>
    </w:p>
    <w:p w:rsidR="00DA577A" w:rsidRDefault="00DA577A" w:rsidP="00EE5CB1">
      <w:pPr>
        <w:spacing w:after="0"/>
        <w:rPr>
          <w:rFonts w:ascii="Arial" w:hAnsi="Arial" w:cs="Arial"/>
          <w:sz w:val="24"/>
          <w:szCs w:val="24"/>
        </w:rPr>
      </w:pPr>
      <w:r>
        <w:rPr>
          <w:rFonts w:ascii="Arial" w:hAnsi="Arial" w:cs="Arial"/>
          <w:sz w:val="24"/>
          <w:szCs w:val="24"/>
        </w:rPr>
        <w:t>Data Visualization: (in Pro MA) ADV, PR, JM, TC</w:t>
      </w:r>
    </w:p>
    <w:p w:rsidR="00DA577A" w:rsidRDefault="00DA577A" w:rsidP="00EE5CB1">
      <w:pPr>
        <w:spacing w:after="0"/>
        <w:rPr>
          <w:rFonts w:ascii="Arial" w:hAnsi="Arial" w:cs="Arial"/>
          <w:sz w:val="24"/>
          <w:szCs w:val="24"/>
        </w:rPr>
      </w:pPr>
      <w:r>
        <w:rPr>
          <w:rFonts w:ascii="Arial" w:hAnsi="Arial" w:cs="Arial"/>
          <w:sz w:val="24"/>
          <w:szCs w:val="24"/>
        </w:rPr>
        <w:t>eHealth: ADV, PR, JM, TC</w:t>
      </w:r>
    </w:p>
    <w:p w:rsidR="00DA577A" w:rsidRDefault="00DA577A" w:rsidP="00EE5CB1">
      <w:pPr>
        <w:spacing w:after="0"/>
        <w:rPr>
          <w:rFonts w:ascii="Arial" w:hAnsi="Arial" w:cs="Arial"/>
          <w:sz w:val="24"/>
          <w:szCs w:val="24"/>
        </w:rPr>
      </w:pPr>
      <w:r>
        <w:rPr>
          <w:rFonts w:ascii="Arial" w:hAnsi="Arial" w:cs="Arial"/>
          <w:sz w:val="24"/>
          <w:szCs w:val="24"/>
        </w:rPr>
        <w:t>Content Marketing: ADV, PR, JM, TC</w:t>
      </w:r>
    </w:p>
    <w:p w:rsidR="00DA577A" w:rsidRDefault="00DA577A" w:rsidP="00EE5CB1">
      <w:pPr>
        <w:spacing w:after="0"/>
        <w:rPr>
          <w:rFonts w:ascii="Arial" w:hAnsi="Arial" w:cs="Arial"/>
          <w:sz w:val="24"/>
          <w:szCs w:val="24"/>
        </w:rPr>
      </w:pPr>
      <w:r>
        <w:rPr>
          <w:rFonts w:ascii="Arial" w:hAnsi="Arial" w:cs="Arial"/>
          <w:sz w:val="24"/>
          <w:szCs w:val="24"/>
        </w:rPr>
        <w:t>Video for the Web: ADV, PR, JM, TC</w:t>
      </w:r>
    </w:p>
    <w:p w:rsidR="00DA577A" w:rsidRDefault="00DA577A" w:rsidP="00EE5CB1">
      <w:pPr>
        <w:spacing w:after="0"/>
        <w:rPr>
          <w:rFonts w:ascii="Arial" w:hAnsi="Arial" w:cs="Arial"/>
          <w:sz w:val="24"/>
          <w:szCs w:val="24"/>
        </w:rPr>
      </w:pPr>
      <w:r>
        <w:rPr>
          <w:rFonts w:ascii="Arial" w:hAnsi="Arial" w:cs="Arial"/>
          <w:sz w:val="24"/>
          <w:szCs w:val="24"/>
        </w:rPr>
        <w:t>Race, Sports, and Culture: ADV, PR, JM, TC</w:t>
      </w:r>
    </w:p>
    <w:p w:rsidR="00DA577A" w:rsidRDefault="00DA577A" w:rsidP="00EE5CB1">
      <w:pPr>
        <w:spacing w:after="0"/>
        <w:rPr>
          <w:rFonts w:ascii="Arial" w:hAnsi="Arial" w:cs="Arial"/>
          <w:sz w:val="24"/>
          <w:szCs w:val="24"/>
        </w:rPr>
      </w:pPr>
    </w:p>
    <w:p w:rsidR="00DA577A" w:rsidRDefault="00DA577A" w:rsidP="00EE5CB1">
      <w:pPr>
        <w:spacing w:after="0"/>
        <w:rPr>
          <w:rFonts w:ascii="Arial" w:hAnsi="Arial" w:cs="Arial"/>
          <w:sz w:val="24"/>
          <w:szCs w:val="24"/>
        </w:rPr>
      </w:pPr>
    </w:p>
    <w:p w:rsidR="00DA577A" w:rsidRDefault="00DA577A" w:rsidP="00EE5CB1">
      <w:pPr>
        <w:spacing w:after="0"/>
        <w:rPr>
          <w:rFonts w:ascii="Arial" w:hAnsi="Arial" w:cs="Arial"/>
          <w:sz w:val="24"/>
          <w:szCs w:val="24"/>
        </w:rPr>
      </w:pPr>
    </w:p>
    <w:p w:rsidR="00DA577A" w:rsidRPr="00EE5CB1" w:rsidRDefault="00DA577A" w:rsidP="00EE5CB1">
      <w:pPr>
        <w:spacing w:after="0"/>
        <w:rPr>
          <w:rFonts w:ascii="Arial" w:hAnsi="Arial" w:cs="Arial"/>
          <w:sz w:val="24"/>
          <w:szCs w:val="24"/>
        </w:rPr>
      </w:pPr>
      <w:r>
        <w:rPr>
          <w:rFonts w:ascii="Arial" w:hAnsi="Arial" w:cs="Arial"/>
          <w:sz w:val="24"/>
          <w:szCs w:val="24"/>
        </w:rPr>
        <w:t xml:space="preserve">ATTENDED: Treise, </w:t>
      </w:r>
      <w:r>
        <w:rPr>
          <w:rFonts w:ascii="Arial" w:hAnsi="Arial" w:cs="Arial"/>
          <w:sz w:val="24"/>
          <w:szCs w:val="24"/>
        </w:rPr>
        <w:t>DiStaso</w:t>
      </w:r>
      <w:r>
        <w:rPr>
          <w:rFonts w:ascii="Arial" w:hAnsi="Arial" w:cs="Arial"/>
          <w:sz w:val="24"/>
          <w:szCs w:val="24"/>
        </w:rPr>
        <w:t>, Kelleher, Ostroff, Spiker, and Hedge</w:t>
      </w:r>
    </w:p>
    <w:p w:rsidR="00EE5CB1" w:rsidRPr="007674C4" w:rsidRDefault="00EE5CB1" w:rsidP="007674C4">
      <w:pPr>
        <w:rPr>
          <w:rFonts w:ascii="Arial" w:hAnsi="Arial" w:cs="Arial"/>
          <w:sz w:val="24"/>
          <w:szCs w:val="24"/>
        </w:rPr>
      </w:pPr>
    </w:p>
    <w:sectPr w:rsidR="00EE5CB1" w:rsidRPr="007674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14" w:rsidRDefault="00803614" w:rsidP="00803614">
      <w:pPr>
        <w:spacing w:after="0" w:line="240" w:lineRule="auto"/>
      </w:pPr>
      <w:r>
        <w:separator/>
      </w:r>
    </w:p>
  </w:endnote>
  <w:endnote w:type="continuationSeparator" w:id="0">
    <w:p w:rsidR="00803614" w:rsidRDefault="00803614" w:rsidP="0080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090930"/>
      <w:docPartObj>
        <w:docPartGallery w:val="Page Numbers (Bottom of Page)"/>
        <w:docPartUnique/>
      </w:docPartObj>
    </w:sdtPr>
    <w:sdtContent>
      <w:sdt>
        <w:sdtPr>
          <w:id w:val="-1769616900"/>
          <w:docPartObj>
            <w:docPartGallery w:val="Page Numbers (Top of Page)"/>
            <w:docPartUnique/>
          </w:docPartObj>
        </w:sdtPr>
        <w:sdtContent>
          <w:p w:rsidR="00F20602" w:rsidRDefault="00F206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24B9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4B9E">
              <w:rPr>
                <w:b/>
                <w:bCs/>
                <w:noProof/>
              </w:rPr>
              <w:t>2</w:t>
            </w:r>
            <w:r>
              <w:rPr>
                <w:b/>
                <w:bCs/>
                <w:sz w:val="24"/>
                <w:szCs w:val="24"/>
              </w:rPr>
              <w:fldChar w:fldCharType="end"/>
            </w:r>
          </w:p>
        </w:sdtContent>
      </w:sdt>
    </w:sdtContent>
  </w:sdt>
  <w:p w:rsidR="00F20602" w:rsidRDefault="00F20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14" w:rsidRDefault="00803614" w:rsidP="00803614">
      <w:pPr>
        <w:spacing w:after="0" w:line="240" w:lineRule="auto"/>
      </w:pPr>
      <w:r>
        <w:separator/>
      </w:r>
    </w:p>
  </w:footnote>
  <w:footnote w:type="continuationSeparator" w:id="0">
    <w:p w:rsidR="00803614" w:rsidRDefault="00803614" w:rsidP="0080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14" w:rsidRDefault="0080361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03614" w:rsidRPr="00803614" w:rsidRDefault="00803614">
                              <w:pPr>
                                <w:pStyle w:val="Header"/>
                                <w:tabs>
                                  <w:tab w:val="clear" w:pos="4680"/>
                                  <w:tab w:val="clear" w:pos="9360"/>
                                </w:tabs>
                                <w:jc w:val="center"/>
                                <w:rPr>
                                  <w:caps/>
                                  <w:color w:val="FFFFFF" w:themeColor="background1"/>
                                  <w:sz w:val="28"/>
                                  <w:szCs w:val="28"/>
                                </w:rPr>
                              </w:pPr>
                              <w:r w:rsidRPr="00803614">
                                <w:rPr>
                                  <w:caps/>
                                  <w:color w:val="FFFFFF" w:themeColor="background1"/>
                                  <w:sz w:val="28"/>
                                  <w:szCs w:val="28"/>
                                </w:rPr>
                                <w:t>GRADUATE COMMITTEE MINUTES</w:t>
                              </w:r>
                            </w:p>
                          </w:sdtContent>
                        </w:sdt>
                        <w:p w:rsidR="00803614" w:rsidRPr="00803614" w:rsidRDefault="00803614">
                          <w:pPr>
                            <w:pStyle w:val="Header"/>
                            <w:tabs>
                              <w:tab w:val="clear" w:pos="4680"/>
                              <w:tab w:val="clear" w:pos="9360"/>
                            </w:tabs>
                            <w:jc w:val="center"/>
                            <w:rPr>
                              <w:caps/>
                              <w:color w:val="FFFFFF" w:themeColor="background1"/>
                              <w:sz w:val="28"/>
                              <w:szCs w:val="28"/>
                            </w:rPr>
                          </w:pPr>
                          <w:r w:rsidRPr="00803614">
                            <w:rPr>
                              <w:caps/>
                              <w:color w:val="FFFFFF" w:themeColor="background1"/>
                              <w:sz w:val="28"/>
                              <w:szCs w:val="28"/>
                            </w:rPr>
                            <w:t>10-19-17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03614" w:rsidRPr="00803614" w:rsidRDefault="00803614">
                        <w:pPr>
                          <w:pStyle w:val="Header"/>
                          <w:tabs>
                            <w:tab w:val="clear" w:pos="4680"/>
                            <w:tab w:val="clear" w:pos="9360"/>
                          </w:tabs>
                          <w:jc w:val="center"/>
                          <w:rPr>
                            <w:caps/>
                            <w:color w:val="FFFFFF" w:themeColor="background1"/>
                            <w:sz w:val="28"/>
                            <w:szCs w:val="28"/>
                          </w:rPr>
                        </w:pPr>
                        <w:r w:rsidRPr="00803614">
                          <w:rPr>
                            <w:caps/>
                            <w:color w:val="FFFFFF" w:themeColor="background1"/>
                            <w:sz w:val="28"/>
                            <w:szCs w:val="28"/>
                          </w:rPr>
                          <w:t>GRADUATE COMMITTEE MINUTES</w:t>
                        </w:r>
                      </w:p>
                    </w:sdtContent>
                  </w:sdt>
                  <w:p w:rsidR="00803614" w:rsidRPr="00803614" w:rsidRDefault="00803614">
                    <w:pPr>
                      <w:pStyle w:val="Header"/>
                      <w:tabs>
                        <w:tab w:val="clear" w:pos="4680"/>
                        <w:tab w:val="clear" w:pos="9360"/>
                      </w:tabs>
                      <w:jc w:val="center"/>
                      <w:rPr>
                        <w:caps/>
                        <w:color w:val="FFFFFF" w:themeColor="background1"/>
                        <w:sz w:val="28"/>
                        <w:szCs w:val="28"/>
                      </w:rPr>
                    </w:pPr>
                    <w:r w:rsidRPr="00803614">
                      <w:rPr>
                        <w:caps/>
                        <w:color w:val="FFFFFF" w:themeColor="background1"/>
                        <w:sz w:val="28"/>
                        <w:szCs w:val="28"/>
                      </w:rPr>
                      <w:t>10-19-17</w:t>
                    </w:r>
                  </w:p>
                </w:txbxContent>
              </v:textbox>
              <w10:wrap type="square" anchorx="margin" anchory="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073"/>
    <w:multiLevelType w:val="hybridMultilevel"/>
    <w:tmpl w:val="E61A3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445BAC"/>
    <w:multiLevelType w:val="hybridMultilevel"/>
    <w:tmpl w:val="28C67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1C40F2"/>
    <w:multiLevelType w:val="hybridMultilevel"/>
    <w:tmpl w:val="901C0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14"/>
    <w:rsid w:val="00095194"/>
    <w:rsid w:val="001A49F9"/>
    <w:rsid w:val="00481214"/>
    <w:rsid w:val="007674C4"/>
    <w:rsid w:val="00803614"/>
    <w:rsid w:val="00BB7281"/>
    <w:rsid w:val="00C24B9E"/>
    <w:rsid w:val="00CE7173"/>
    <w:rsid w:val="00D24F71"/>
    <w:rsid w:val="00DA577A"/>
    <w:rsid w:val="00DB5F50"/>
    <w:rsid w:val="00EE5CB1"/>
    <w:rsid w:val="00F2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62301"/>
  <w15:chartTrackingRefBased/>
  <w15:docId w15:val="{31CCE7A1-2A3F-4FFC-B576-29CE408E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614"/>
  </w:style>
  <w:style w:type="paragraph" w:styleId="Footer">
    <w:name w:val="footer"/>
    <w:basedOn w:val="Normal"/>
    <w:link w:val="FooterChar"/>
    <w:uiPriority w:val="99"/>
    <w:unhideWhenUsed/>
    <w:rsid w:val="0080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14"/>
  </w:style>
  <w:style w:type="paragraph" w:styleId="ListParagraph">
    <w:name w:val="List Paragraph"/>
    <w:basedOn w:val="Normal"/>
    <w:uiPriority w:val="34"/>
    <w:qFormat/>
    <w:rsid w:val="0076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GRADUATE COMMITTEE MINUTES</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COMMITTEE MINUTES</dc:title>
  <dc:subject/>
  <dc:creator>Hedge, Jody</dc:creator>
  <cp:keywords/>
  <dc:description/>
  <cp:lastModifiedBy>Hedge, Jody</cp:lastModifiedBy>
  <cp:revision>5</cp:revision>
  <dcterms:created xsi:type="dcterms:W3CDTF">2017-10-23T15:16:00Z</dcterms:created>
  <dcterms:modified xsi:type="dcterms:W3CDTF">2017-10-23T16:19:00Z</dcterms:modified>
</cp:coreProperties>
</file>